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spacing w:before="0" w:after="0" w:lineRule="auto" w:line="276"/>
        <w:ind w:right="0" w:left="0" w:firstLine="0"/>
        <w:jc w:val="center"/>
      </w:pPr>
      <w:r>
        <w:rPr/>
      </w:r>
      <w:r>
        <w:rPr>
          <w:sz w:val="24"/>
          <w:u w:val="none"/>
          <w:rFonts w:ascii="Times New Roman" w:hAnsi="Times New Roman" w:cs="Times New Roman" w:eastAsia="Times New Roman"/>
          <w:b w:val="off"/>
          <w:i w:val="off"/>
          <w:strike w:val="off"/>
        </w:rPr>
      </w:r>
      <w:r>
        <w:rPr>
          <w:sz w:val="24"/>
          <w:rFonts w:ascii="Times New Roman" w:hAnsi="Times New Roman" w:cs="Times New Roman" w:eastAsia="Times New Roman"/>
          <w:u w:val="none"/>
          <w:b w:val="on"/>
        </w:rPr>
        <w:t>Информационное сообщение</w:t>
      </w:r>
    </w:p>
    <w:p>
      <w:pPr>
        <w:spacing w:before="0" w:after="0" w:lineRule="auto" w:line="276"/>
        <w:ind w:right="0" w:left="0" w:firstLine="0"/>
        <w:jc w:val="center"/>
      </w:pPr>
      <w:r>
        <w:rPr/>
      </w:r>
      <w:r>
        <w:rPr>
          <w:sz w:val="24"/>
          <w:u w:val="none"/>
          <w:rFonts w:ascii="Times New Roman" w:hAnsi="Times New Roman" w:cs="Times New Roman" w:eastAsia="Times New Roman"/>
          <w:b w:val="off"/>
          <w:i w:val="off"/>
          <w:strike w:val="off"/>
        </w:rPr>
      </w:r>
      <w:r>
        <w:rPr>
          <w:sz w:val="24"/>
          <w:rFonts w:ascii="Times New Roman" w:hAnsi="Times New Roman" w:cs="Times New Roman" w:eastAsia="Times New Roman"/>
          <w:u w:val="none"/>
          <w:b w:val="on"/>
        </w:rPr>
        <w:t/>
      </w:r>
    </w:p>
    <w:p>
      <w:pPr>
        <w:spacing w:before="0" w:after="0" w:lineRule="auto" w:line="276"/>
        <w:ind w:right="0" w:left="0" w:firstLine="0"/>
        <w:jc w:val="center"/>
      </w:pPr>
      <w:r>
        <w:rPr/>
      </w:r>
      <w:r>
        <w:rPr>
          <w:sz w:val="24"/>
          <w:u w:val="none"/>
          <w:rFonts w:ascii="Times New Roman" w:hAnsi="Times New Roman" w:cs="Times New Roman" w:eastAsia="Times New Roman"/>
          <w:b w:val="off"/>
          <w:i w:val="off"/>
          <w:strike w:val="off"/>
        </w:rPr>
      </w:r>
      <w:r>
        <w:rPr>
          <w:sz w:val="24"/>
          <w:rFonts w:ascii="Times New Roman" w:hAnsi="Times New Roman" w:cs="Times New Roman" w:eastAsia="Times New Roman"/>
          <w:u w:val="none"/>
          <w:b w:val="on"/>
        </w:rPr>
        <w:t/>
      </w:r>
      <w:r>
        <w:rPr>
          <w:sz w:val="24"/>
          <w:rFonts w:ascii="Times New Roman" w:hAnsi="Times New Roman" w:cs="Times New Roman" w:eastAsia="Times New Roman"/>
          <w:u w:val="none"/>
          <w:color w:val="ff00ff"/>
          <w:b w:val="on"/>
        </w:rPr>
        <w:t>Продажа имущества</w:t>
      </w:r>
      <w:r>
        <w:rPr>
          <w:sz w:val="24"/>
          <w:rFonts w:ascii="Times New Roman" w:hAnsi="Times New Roman" w:cs="Times New Roman" w:eastAsia="Times New Roman"/>
          <w:u w:val="none"/>
          <w:b w:val="on"/>
        </w:rPr>
        <w:t/>
      </w:r>
    </w:p>
    <w:p>
      <w:pPr>
        <w:spacing w:before="0" w:after="0" w:lineRule="auto" w:line="276"/>
        <w:ind w:right="0" w:left="0" w:firstLine="0"/>
        <w:jc w:val="center"/>
      </w:pPr>
      <w:r>
        <w:rPr/>
      </w:r>
      <w:r>
        <w:rPr>
          <w:sz w:val="24"/>
          <w:u w:val="none"/>
          <w:rFonts w:ascii="Times New Roman" w:hAnsi="Times New Roman" w:cs="Times New Roman" w:eastAsia="Times New Roman"/>
          <w:b w:val="off"/>
          <w:i w:val="off"/>
          <w:strike w:val="off"/>
        </w:rPr>
      </w:r>
      <w:r>
        <w:rPr>
          <w:sz w:val="24"/>
          <w:rFonts w:ascii="Times New Roman" w:hAnsi="Times New Roman" w:cs="Times New Roman" w:eastAsia="Times New Roman"/>
          <w:u w:val="none"/>
          <w:b w:val="on"/>
        </w:rPr>
        <w:t/>
      </w:r>
    </w:p>
    <w:tbl>
      <w:tblPr>
        <w:tblW w:w="9350" w:type="dxa"/>
        <w:tblBorders>
          <w:top w:val="single" w:sz="8"/>
          <w:left w:val="single" w:sz="8"/>
          <w:bottom w:val="single" w:sz="8"/>
          <w:right w:val="single" w:sz="8"/>
          <w:insideH w:val="single" w:sz="8"/>
          <w:insideV w:val="single" w:sz="8"/>
        </w:tblBorders>
        <w:tblLayout w:type="fixed"/>
      </w:tblPr>
      <w:tblGrid>
        <w:gridCol w:w="4675"/>
        <w:gridCol w:w="4675"/>
      </w:tblGrid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Форма проведения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Публичное предложение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Наименование процедуры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Продажа имущества  Осецкого сельского поселения Ярославской области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Электронная площадка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АО «ЕЭТП»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Организатор торгов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Код организации</w:t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01712000019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ОКФС</w:t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13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Публично-правовое образование</w:t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Населенные пункты, входящие в состав городского округа город Ярославль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Полное наименование</w:t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МИНИСТЕРСТВО КОНКУРЕНТНОЙ ПОЛИТИКИ ЯРОСЛАВСКОЙ ОБЛАСТИ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Сокращенное наименование</w:t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МКП ЯО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ИНН</w:t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7604084334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КПП</w:t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760401001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ОГРН</w:t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1067604003411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Юридический адрес</w:t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150000, Ярославская область , Г. ЯРОСЛАВЛЬ, ПЛ. СОВЕТСКАЯ, Д.3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Фактический/почтовый адрес:</w:t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150000, Ярославская область , Г. ЯРОСЛАВЛЬ, ПЛ. СОВЕТСКАЯ, Д.3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 xml:space="preserve">Контактное лицо: 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Кобузев Сергей Валерьевич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 xml:space="preserve">Телефон: 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84852594159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 xml:space="preserve">Адрес электронной почты: 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kobuzevsv@yarregion.ru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Сведения о правообладателе/инициаторе торгов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АДМИНИСТРАЦИЯ ОСЕЦКОГО СЕЛЬСКОГО ПОСЕЛЕНИЯ ЯРОСЛАВСКОЙ ОБЛАСТИ</w:t>
            </w:r>
          </w:p>
        </w:tc>
      </w:tr>
    </w:tbl>
    <w:tbl>
      <w:tblPr>
        <w:tblW w:w="9350" w:type="dxa"/>
        <w:tblBorders>
          <w:top w:val="single" w:sz="8"/>
          <w:left w:val="single" w:sz="8"/>
          <w:bottom w:val="single" w:sz="8"/>
          <w:right w:val="single" w:sz="8"/>
          <w:insideH w:val="single" w:sz="8"/>
          <w:insideV w:val="single" w:sz="8"/>
        </w:tblBorders>
        <w:tblLayout w:type="fixed"/>
      </w:tblPr>
      <w:tblGrid>
        <w:gridCol w:w="9350"/>
      </w:tblGrid>
      <w:tr>
        <w:tc>
          <w:tcPr>
            <w:tcW w:type="dxa" w:w="9350"/>
          </w:tcPr>
          <w:p>
            <w:pPr>
              <w:spacing w:before="0" w:after="0" w:lineRule="auto" w:line="276"/>
              <w:ind w:right="0" w:left="0" w:firstLine="0"/>
              <w:jc w:val="center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Информация о лотах</w:t>
            </w:r>
          </w:p>
        </w:tc>
      </w:tr>
    </w:tbl>
    <w:tbl>
      <w:tblPr>
        <w:tblW w:w="9350" w:type="dxa"/>
        <w:tblBorders>
          <w:top w:val="single" w:sz="8"/>
          <w:left w:val="single" w:sz="8"/>
          <w:bottom w:val="single" w:sz="8"/>
          <w:right w:val="single" w:sz="8"/>
          <w:insideH w:val="single" w:sz="8"/>
          <w:insideV w:val="single" w:sz="8"/>
        </w:tblBorders>
        <w:tblLayout w:type="fixed"/>
        <w:tblLayout w:type="fixed"/>
        <w:tblLayout w:type="fixed"/>
        <w:tblLayout w:type="fixed"/>
        <w:tblLayout w:type="fixed"/>
      </w:tblPr>
      <w:tblGrid>
        <w:gridCol w:w="4675"/>
        <w:gridCol w:w="4675"/>
        <w:gridCol w:w="4675"/>
      </w:tblGrid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№ лота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2</w:t>
            </w:r>
          </w:p>
        </w:tc>
      </w:tr>
      <w:tr>
        <w:tc>
          <w:tcPr>
            <w:tcW w:type="dxa" w:w="4675"/>
            <w:tcBorders>
              <w:right w:color="000000" w:sz="0" w:val="none"/>
            </w:tcBorders>
            <w:tcBorders>
              <w:right w:color="000000" w:sz="0" w:val="none"/>
            </w:tcBorders>
            <w:tcBorders>
              <w:right w:color="000000" w:sz="0" w:val="none"/>
            </w:tcBorders>
            <w:tcBorders>
              <w:right w:color="000000" w:sz="0" w:val="none"/>
            </w:tcBorders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Основная информация</w:t>
            </w:r>
          </w:p>
        </w:tc>
        <w:tc>
          <w:tcPr>
            <w:tcW w:type="dxa" w:w="4675"/>
            <w:tcBorders>
              <w:left w:color="000000" w:sz="0" w:val="none"/>
            </w:tcBorders>
            <w:tcBorders>
              <w:left w:color="000000" w:sz="0" w:val="none"/>
            </w:tcBorders>
            <w:tcBorders>
              <w:left w:color="000000" w:sz="0" w:val="none"/>
            </w:tcBorders>
            <w:tcBorders>
              <w:left w:color="000000" w:sz="0" w:val="none"/>
            </w:tcBorders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Предмет торгов (наименование лота)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/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Описание лота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нежилые помещения (второй этаж),  общей  площадью 101,2 кв.м., кадастровый номер 76:06:100601:650, по  адресу: Ярославская обл., Любимский р-н, с. Закобякино, ул. Кудрявцева, д. 3,  помещение № 1-8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Сведения о предыдущих извещениях (сообщениях)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22000149210000000335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Начальная цена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166000.00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Реквизиты для перечисления задатка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Счет электронной площадки</w:t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 xml:space="preserve">Получатель 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АО "Единая электронная торговая площадка"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 xml:space="preserve">ИНН 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7707704692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 xml:space="preserve">КПП 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772501001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 xml:space="preserve">наименование банка получателя 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Филиал "Центральный" Банка ВТБ (ПАО) в г. Москва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 xml:space="preserve">расчетный счет (казначейский счет) 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40702810510050001273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 xml:space="preserve">лицевой счет 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 xml:space="preserve">БИК 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 xml:space="preserve">корреспондентский счет (ЕКС) 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30101810145250000411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 xml:space="preserve">назначение платежа 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Категория объекта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Нежилые помещения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Форма собственности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Муниципальная собственность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Обременения, ограничения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В соответствии с информационным сообщением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Порядок ознакомления с имуществом, иной информацией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В соответствии с информационным сообщением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Срок заключения договора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В соответствии с информационным сообщением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Срок и порядок внесения задатка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В соответствии с информационным сообщением</w:t>
            </w:r>
          </w:p>
        </w:tc>
      </w:tr>
    </w:tbl>
    <w:tbl>
      <w:tblPr>
        <w:tblW w:w="9350" w:type="dxa"/>
        <w:tblBorders>
          <w:top w:val="single" w:sz="8"/>
          <w:left w:val="single" w:sz="8"/>
          <w:bottom w:val="single" w:sz="8"/>
          <w:right w:val="single" w:sz="8"/>
          <w:insideH w:val="single" w:sz="8"/>
          <w:insideV w:val="single" w:sz="8"/>
        </w:tblBorders>
        <w:tblLayout w:type="fixed"/>
      </w:tblPr>
      <w:tblGrid>
        <w:gridCol w:w="9350"/>
      </w:tblGrid>
      <w:tr>
        <w:tc>
          <w:tcPr>
            <w:tcW w:type="dxa" w:w="9350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Характеристики</w:t>
            </w:r>
          </w:p>
        </w:tc>
      </w:tr>
    </w:tbl>
    <w:tbl>
      <w:tblPr>
        <w:tblW w:w="9350" w:type="dxa"/>
        <w:tblBorders>
          <w:top w:val="single" w:sz="8"/>
          <w:left w:val="single" w:sz="8"/>
          <w:bottom w:val="single" w:sz="8"/>
          <w:right w:val="single" w:sz="8"/>
          <w:insideH w:val="single" w:sz="8"/>
          <w:insideV w:val="single" w:sz="8"/>
        </w:tblBorders>
        <w:tblLayout w:type="fixed"/>
        <w:tblLayout w:type="fixed"/>
        <w:tblLayout w:type="fixed"/>
        <w:tblLayout w:type="fixed"/>
        <w:tblLayout w:type="fixed"/>
        <w:tblLayout w:type="fixed"/>
      </w:tblPr>
      <w:tblGrid>
        <w:gridCol w:w="4675"/>
        <w:gridCol w:w="4675"/>
        <w:gridCol w:w="4675"/>
      </w:tblGrid>
      <w:tr>
        <w:tc>
          <w:tcPr>
            <w:tcW w:type="dxa" w:w="4675"/>
            <w:tcBorders>
              <w:right w:color="000000" w:sz="0" w:val="none"/>
            </w:tcBorders>
            <w:tcBorders>
              <w:right w:color="000000" w:sz="0" w:val="none"/>
            </w:tcBorders>
            <w:tcBorders>
              <w:right w:color="000000" w:sz="0" w:val="none"/>
            </w:tcBorders>
            <w:tcBorders>
              <w:right w:color="000000" w:sz="0" w:val="none"/>
            </w:tcBorders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Условия проведения процедуры</w:t>
            </w:r>
          </w:p>
        </w:tc>
        <w:tc>
          <w:tcPr>
            <w:tcW w:type="dxa" w:w="4675"/>
            <w:tcBorders>
              <w:left w:color="000000" w:sz="0" w:val="none"/>
            </w:tcBorders>
            <w:tcBorders>
              <w:left w:color="000000" w:sz="0" w:val="none"/>
            </w:tcBorders>
            <w:tcBorders>
              <w:left w:color="000000" w:sz="0" w:val="none"/>
            </w:tcBorders>
            <w:tcBorders>
              <w:left w:color="000000" w:sz="0" w:val="none"/>
            </w:tcBorders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Дата и время начала подачи заявок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08.02.2024 17:00:00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Дата и время окончания подачи заявок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06.03.2024 23:59:00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Дата рассмотрения заявок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07.03.2024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Дата и время начала проведения торгов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11.03.2024 09:00:00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№ лота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3</w:t>
            </w:r>
          </w:p>
        </w:tc>
      </w:tr>
      <w:tr>
        <w:tc>
          <w:tcPr>
            <w:tcW w:type="dxa" w:w="4675"/>
            <w:tcBorders>
              <w:right w:color="000000" w:sz="0" w:val="none"/>
            </w:tcBorders>
            <w:tcBorders>
              <w:right w:color="000000" w:sz="0" w:val="none"/>
            </w:tcBorders>
            <w:tcBorders>
              <w:right w:color="000000" w:sz="0" w:val="none"/>
            </w:tcBorders>
            <w:tcBorders>
              <w:right w:color="000000" w:sz="0" w:val="none"/>
            </w:tcBorders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Основная информация</w:t>
            </w:r>
          </w:p>
        </w:tc>
        <w:tc>
          <w:tcPr>
            <w:tcW w:type="dxa" w:w="4675"/>
            <w:tcBorders>
              <w:left w:color="000000" w:sz="0" w:val="none"/>
            </w:tcBorders>
            <w:tcBorders>
              <w:left w:color="000000" w:sz="0" w:val="none"/>
            </w:tcBorders>
            <w:tcBorders>
              <w:left w:color="000000" w:sz="0" w:val="none"/>
            </w:tcBorders>
            <w:tcBorders>
              <w:left w:color="000000" w:sz="0" w:val="none"/>
            </w:tcBorders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Предмет торгов (наименование лота)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/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Описание лота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нежилое  помещение,  общей  площадью  93,2 кв.м., кадастровый  номер:      76:06:100601:649  по  адресу: Ярославская обл., Любимский р-н, с. Закобякино,       ул.Кудрявцева, д. 3,  помещение № 12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Сведения о предыдущих извещениях (сообщениях)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22000149210000000335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Начальная цена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141000.00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Реквизиты для перечисления задатка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Счет электронной площадки</w:t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 xml:space="preserve">Получатель 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АО "Единая электронная торговая площадка"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 xml:space="preserve">ИНН 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7707704692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 xml:space="preserve">КПП 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772501001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 xml:space="preserve">наименование банка получателя 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Филиал "Центральный" Банка ВТБ (ПАО) в г. Москва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 xml:space="preserve">расчетный счет (казначейский счет) 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40702810510050001273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 xml:space="preserve">лицевой счет 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 xml:space="preserve">БИК 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 xml:space="preserve">корреспондентский счет (ЕКС) 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30101810145250000411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 xml:space="preserve">назначение платежа 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Категория объекта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Нежилые помещения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Форма собственности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Муниципальная собственность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Обременения, ограничения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В соответствии с информационным сообщением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Порядок ознакомления с имуществом, иной информацией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В соответствии с информационным сообщением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Срок заключения договора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В соответствии с информационным сообщением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Срок и порядок внесения задатка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В соответствии с информационным сообщением</w:t>
            </w:r>
          </w:p>
        </w:tc>
      </w:tr>
    </w:tbl>
    <w:tbl>
      <w:tblPr>
        <w:tblW w:w="9350" w:type="dxa"/>
        <w:tblBorders>
          <w:top w:val="single" w:sz="8"/>
          <w:left w:val="single" w:sz="8"/>
          <w:bottom w:val="single" w:sz="8"/>
          <w:right w:val="single" w:sz="8"/>
          <w:insideH w:val="single" w:sz="8"/>
          <w:insideV w:val="single" w:sz="8"/>
        </w:tblBorders>
        <w:tblLayout w:type="fixed"/>
      </w:tblPr>
      <w:tblGrid>
        <w:gridCol w:w="9350"/>
      </w:tblGrid>
      <w:tr>
        <w:tc>
          <w:tcPr>
            <w:tcW w:type="dxa" w:w="9350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Характеристики</w:t>
            </w:r>
          </w:p>
        </w:tc>
      </w:tr>
    </w:tbl>
    <w:tbl>
      <w:tblPr>
        <w:tblW w:w="9350" w:type="dxa"/>
        <w:tblBorders>
          <w:top w:val="single" w:sz="8"/>
          <w:left w:val="single" w:sz="8"/>
          <w:bottom w:val="single" w:sz="8"/>
          <w:right w:val="single" w:sz="8"/>
          <w:insideH w:val="single" w:sz="8"/>
          <w:insideV w:val="single" w:sz="8"/>
        </w:tblBorders>
        <w:tblLayout w:type="fixed"/>
        <w:tblLayout w:type="fixed"/>
        <w:tblLayout w:type="fixed"/>
        <w:tblLayout w:type="fixed"/>
        <w:tblLayout w:type="fixed"/>
        <w:tblLayout w:type="fixed"/>
      </w:tblPr>
      <w:tblGrid>
        <w:gridCol w:w="4675"/>
        <w:gridCol w:w="4675"/>
        <w:gridCol w:w="4675"/>
      </w:tblGrid>
      <w:tr>
        <w:tc>
          <w:tcPr>
            <w:tcW w:type="dxa" w:w="4675"/>
            <w:tcBorders>
              <w:right w:color="000000" w:sz="0" w:val="none"/>
            </w:tcBorders>
            <w:tcBorders>
              <w:right w:color="000000" w:sz="0" w:val="none"/>
            </w:tcBorders>
            <w:tcBorders>
              <w:right w:color="000000" w:sz="0" w:val="none"/>
            </w:tcBorders>
            <w:tcBorders>
              <w:right w:color="000000" w:sz="0" w:val="none"/>
            </w:tcBorders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Условия проведения процедуры</w:t>
            </w:r>
          </w:p>
        </w:tc>
        <w:tc>
          <w:tcPr>
            <w:tcW w:type="dxa" w:w="4675"/>
            <w:tcBorders>
              <w:left w:color="000000" w:sz="0" w:val="none"/>
            </w:tcBorders>
            <w:tcBorders>
              <w:left w:color="000000" w:sz="0" w:val="none"/>
            </w:tcBorders>
            <w:tcBorders>
              <w:left w:color="000000" w:sz="0" w:val="none"/>
            </w:tcBorders>
            <w:tcBorders>
              <w:left w:color="000000" w:sz="0" w:val="none"/>
            </w:tcBorders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Дата и время начала подачи заявок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08.02.2024 17:00:00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Дата и время окончания подачи заявок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06.03.2024 23:59:00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Дата рассмотрения заявок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07.03.2024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Дата и время начала проведения торгов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11.03.2024 09:00:00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№ лота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1</w:t>
            </w:r>
          </w:p>
        </w:tc>
      </w:tr>
      <w:tr>
        <w:tc>
          <w:tcPr>
            <w:tcW w:type="dxa" w:w="4675"/>
            <w:tcBorders>
              <w:right w:color="000000" w:sz="0" w:val="none"/>
            </w:tcBorders>
            <w:tcBorders>
              <w:right w:color="000000" w:sz="0" w:val="none"/>
            </w:tcBorders>
            <w:tcBorders>
              <w:right w:color="000000" w:sz="0" w:val="none"/>
            </w:tcBorders>
            <w:tcBorders>
              <w:right w:color="000000" w:sz="0" w:val="none"/>
            </w:tcBorders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Основная информация</w:t>
            </w:r>
          </w:p>
        </w:tc>
        <w:tc>
          <w:tcPr>
            <w:tcW w:type="dxa" w:w="4675"/>
            <w:tcBorders>
              <w:left w:color="000000" w:sz="0" w:val="none"/>
            </w:tcBorders>
            <w:tcBorders>
              <w:left w:color="000000" w:sz="0" w:val="none"/>
            </w:tcBorders>
            <w:tcBorders>
              <w:left w:color="000000" w:sz="0" w:val="none"/>
            </w:tcBorders>
            <w:tcBorders>
              <w:left w:color="000000" w:sz="0" w:val="none"/>
            </w:tcBorders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Предмет торгов (наименование лота)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/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Описание лота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нежилое здание общей площадью 274,9 кв.м., расположенное на земельном участке с кадастровым номером 76:06:100601:139 площадью 200 кв.м. по адресу: Ярославская обл., Любимский р-н, с. Закобякино, ул. Кудрявцева, д. 6.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Сведения о предыдущих извещениях (сообщениях)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22000149210000000335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Начальная цена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381000.00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Реквизиты для перечисления задатка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Счет электронной площадки</w:t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 xml:space="preserve">Получатель 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АО "Единая электронная торговая площадка"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 xml:space="preserve">ИНН 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7707704692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 xml:space="preserve">КПП 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772501001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 xml:space="preserve">наименование банка получателя 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Филиал "Центральный" Банка ВТБ (ПАО) в г. Москва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 xml:space="preserve">расчетный счет (казначейский счет) 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40702810510050001273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 xml:space="preserve">лицевой счет 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 xml:space="preserve">БИК 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 xml:space="preserve">корреспондентский счет (ЕКС) 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30101810145250000411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 xml:space="preserve">назначение платежа 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Категория объекта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Здания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Форма собственности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Муниципальная собственность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Обременения, ограничения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В соответствии с информационным сообщением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Порядок ознакомления с имуществом, иной информацией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В соответствии с информационным сообщением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Срок и порядок внесения задатка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В соответствии с информационным сообщением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Срок заключения договора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В соответствии с информационным сообщением</w:t>
            </w:r>
          </w:p>
        </w:tc>
      </w:tr>
    </w:tbl>
    <w:tbl>
      <w:tblPr>
        <w:tblW w:w="9350" w:type="dxa"/>
        <w:tblBorders>
          <w:top w:val="single" w:sz="8"/>
          <w:left w:val="single" w:sz="8"/>
          <w:bottom w:val="single" w:sz="8"/>
          <w:right w:val="single" w:sz="8"/>
          <w:insideH w:val="single" w:sz="8"/>
          <w:insideV w:val="single" w:sz="8"/>
        </w:tblBorders>
        <w:tblLayout w:type="fixed"/>
      </w:tblPr>
      <w:tblGrid>
        <w:gridCol w:w="9350"/>
      </w:tblGrid>
      <w:tr>
        <w:tc>
          <w:tcPr>
            <w:tcW w:type="dxa" w:w="9350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Характеристики</w:t>
            </w:r>
          </w:p>
        </w:tc>
      </w:tr>
    </w:tbl>
    <w:tbl>
      <w:tblPr>
        <w:tblW w:w="9350" w:type="dxa"/>
        <w:tblBorders>
          <w:top w:val="single" w:sz="8"/>
          <w:left w:val="single" w:sz="8"/>
          <w:bottom w:val="single" w:sz="8"/>
          <w:right w:val="single" w:sz="8"/>
          <w:insideH w:val="single" w:sz="8"/>
          <w:insideV w:val="single" w:sz="8"/>
        </w:tblBorders>
        <w:tblLayout w:type="fixed"/>
        <w:tblLayout w:type="fixed"/>
        <w:tblLayout w:type="fixed"/>
        <w:tblLayout w:type="fixed"/>
        <w:tblLayout w:type="fixed"/>
        <w:tblLayout w:type="fixed"/>
      </w:tblPr>
      <w:tblGrid>
        <w:gridCol w:w="4675"/>
        <w:gridCol w:w="4675"/>
        <w:gridCol w:w="4675"/>
      </w:tblGrid>
      <w:tr>
        <w:tc>
          <w:tcPr>
            <w:tcW w:type="dxa" w:w="4675"/>
            <w:tcBorders>
              <w:right w:color="000000" w:sz="0" w:val="none"/>
            </w:tcBorders>
            <w:tcBorders>
              <w:right w:color="000000" w:sz="0" w:val="none"/>
            </w:tcBorders>
            <w:tcBorders>
              <w:right w:color="000000" w:sz="0" w:val="none"/>
            </w:tcBorders>
            <w:tcBorders>
              <w:right w:color="000000" w:sz="0" w:val="none"/>
            </w:tcBorders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Условия проведения процедуры</w:t>
            </w:r>
          </w:p>
        </w:tc>
        <w:tc>
          <w:tcPr>
            <w:tcW w:type="dxa" w:w="4675"/>
            <w:tcBorders>
              <w:left w:color="000000" w:sz="0" w:val="none"/>
            </w:tcBorders>
            <w:tcBorders>
              <w:left w:color="000000" w:sz="0" w:val="none"/>
            </w:tcBorders>
            <w:tcBorders>
              <w:left w:color="000000" w:sz="0" w:val="none"/>
            </w:tcBorders>
            <w:tcBorders>
              <w:left w:color="000000" w:sz="0" w:val="none"/>
            </w:tcBorders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Дата и время начала подачи заявок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08.02.2024 17:00:00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Дата и время окончания подачи заявок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06.03.2024 23:59:00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Дата рассмотрения заявок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07.03.2024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Дата и время начала проведения торгов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11.03.2024 09:00:00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№ лота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4</w:t>
            </w:r>
          </w:p>
        </w:tc>
      </w:tr>
      <w:tr>
        <w:tc>
          <w:tcPr>
            <w:tcW w:type="dxa" w:w="4675"/>
            <w:tcBorders>
              <w:right w:color="000000" w:sz="0" w:val="none"/>
            </w:tcBorders>
            <w:tcBorders>
              <w:right w:color="000000" w:sz="0" w:val="none"/>
            </w:tcBorders>
            <w:tcBorders>
              <w:right w:color="000000" w:sz="0" w:val="none"/>
            </w:tcBorders>
            <w:tcBorders>
              <w:right w:color="000000" w:sz="0" w:val="none"/>
            </w:tcBorders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Основная информация</w:t>
            </w:r>
          </w:p>
        </w:tc>
        <w:tc>
          <w:tcPr>
            <w:tcW w:type="dxa" w:w="4675"/>
            <w:tcBorders>
              <w:left w:color="000000" w:sz="0" w:val="none"/>
            </w:tcBorders>
            <w:tcBorders>
              <w:left w:color="000000" w:sz="0" w:val="none"/>
            </w:tcBorders>
            <w:tcBorders>
              <w:left w:color="000000" w:sz="0" w:val="none"/>
            </w:tcBorders>
            <w:tcBorders>
              <w:left w:color="000000" w:sz="0" w:val="none"/>
            </w:tcBorders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Предмет торгов (наименование лота)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/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Описание лота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нежилое  помещение,  общей  площадью  13,1 кв.м., кадастровый  номер:       76:06:100601:653 по  адресу: Ярославская обл., Любимский р-н, с. Закобякино, ул.        Кудрявцева, д. 3,  помещение № 5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Сведения о предыдущих извещениях (сообщениях)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/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Начальная цена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26000.00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Реквизиты для перечисления задатка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Счет электронной площадки</w:t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 xml:space="preserve">Получатель 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АО "Единая электронная торговая площадка"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 xml:space="preserve">ИНН 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7707704692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 xml:space="preserve">КПП 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772501001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 xml:space="preserve">наименование банка получателя 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Филиал "Центральный" Банка ВТБ (ПАО) в г. Москва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 xml:space="preserve">расчетный счет (казначейский счет) 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40702810510050001273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 xml:space="preserve">лицевой счет 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 xml:space="preserve">БИК 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 xml:space="preserve">корреспондентский счет (ЕКС) 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30101810145250000411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</w:p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/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 xml:space="preserve">назначение платежа </w:t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Категория объекта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Нежилые помещения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Форма собственности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Муниципальная собственность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Обременения, ограничения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В соответствии с информационным сообщением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Порядок ознакомления с имуществом, иной информацией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В соответствии с информационным сообщением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Срок заключения договора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В соответствии с информационным сообщением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Срок и порядок внесения задатка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В соответствии с информационным сообщением</w:t>
            </w:r>
          </w:p>
        </w:tc>
      </w:tr>
    </w:tbl>
    <w:tbl>
      <w:tblPr>
        <w:tblW w:w="9350" w:type="dxa"/>
        <w:tblBorders>
          <w:top w:val="single" w:sz="8"/>
          <w:left w:val="single" w:sz="8"/>
          <w:bottom w:val="single" w:sz="8"/>
          <w:right w:val="single" w:sz="8"/>
          <w:insideH w:val="single" w:sz="8"/>
          <w:insideV w:val="single" w:sz="8"/>
        </w:tblBorders>
        <w:tblLayout w:type="fixed"/>
      </w:tblPr>
      <w:tblGrid>
        <w:gridCol w:w="9350"/>
      </w:tblGrid>
      <w:tr>
        <w:tc>
          <w:tcPr>
            <w:tcW w:type="dxa" w:w="9350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Характеристики</w:t>
            </w:r>
          </w:p>
        </w:tc>
      </w:tr>
    </w:tbl>
    <w:tbl>
      <w:tblPr>
        <w:tblW w:w="9350" w:type="dxa"/>
        <w:tblBorders>
          <w:top w:val="single" w:sz="8"/>
          <w:left w:val="single" w:sz="8"/>
          <w:bottom w:val="single" w:sz="8"/>
          <w:right w:val="single" w:sz="8"/>
          <w:insideH w:val="single" w:sz="8"/>
          <w:insideV w:val="single" w:sz="8"/>
        </w:tblBorders>
        <w:tblLayout w:type="fixed"/>
      </w:tblPr>
      <w:tblGrid>
        <w:gridCol w:w="4675"/>
        <w:gridCol w:w="4675"/>
      </w:tblGrid>
      <w:tr>
        <w:tc>
          <w:tcPr>
            <w:tcW w:type="dxa" w:w="4675"/>
            <w:tcBorders>
              <w:right w:color="000000" w:sz="0" w:val="none"/>
            </w:tcBorders>
            <w:tcBorders>
              <w:right w:color="000000" w:sz="0" w:val="none"/>
            </w:tcBorders>
            <w:tcBorders>
              <w:right w:color="000000" w:sz="0" w:val="none"/>
            </w:tcBorders>
            <w:tcBorders>
              <w:right w:color="000000" w:sz="0" w:val="none"/>
            </w:tcBorders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Условия проведения процедуры</w:t>
            </w:r>
          </w:p>
        </w:tc>
        <w:tc>
          <w:tcPr>
            <w:tcW w:type="dxa" w:w="4675"/>
            <w:tcBorders>
              <w:left w:color="000000" w:sz="0" w:val="none"/>
            </w:tcBorders>
            <w:tcBorders>
              <w:left w:color="000000" w:sz="0" w:val="none"/>
            </w:tcBorders>
            <w:tcBorders>
              <w:left w:color="000000" w:sz="0" w:val="none"/>
            </w:tcBorders>
            <w:tcBorders>
              <w:left w:color="000000" w:sz="0" w:val="none"/>
            </w:tcBorders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Дата и время начала подачи заявок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08.02.2024 17:00:00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Дата и время окончания подачи заявок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06.03.2024 23:59:00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Дата рассмотрения заявок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07.03.2024</w:t>
            </w:r>
          </w:p>
        </w:tc>
      </w:tr>
      <w:tr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</w:rPr>
              <w:t>Дата и время начала проведения торгов</w:t>
            </w:r>
          </w:p>
        </w:tc>
        <w:tc>
          <w:tcPr>
            <w:tcW w:type="dxa" w:w="4675"/>
          </w:tcPr>
          <w:p>
            <w:pPr>
              <w:spacing w:before="0" w:after="0" w:lineRule="auto" w:line="276"/>
              <w:ind w:right="0" w:left="0" w:firstLine="0"/>
              <w:jc w:val="left"/>
            </w:pP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4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4"/>
                <w:rFonts w:ascii="Times New Roman" w:hAnsi="Times New Roman" w:cs="Times New Roman" w:eastAsia="Times New Roman"/>
                <w:u w:val="none"/>
                <w:color w:val="ff00ff"/>
              </w:rPr>
              <w:t>11.03.2024 09:00:00</w:t>
            </w:r>
          </w:p>
        </w:tc>
      </w:tr>
    </w:tbl>
    <w:sectPr>
      <w:pgSz w:orient="portrait" w:w="11900" w:h="16840"/>
      <w:pgMar w:left="1700" w:right="850" w:top="1133" w:bottom="1133"/>
    </w:sectPr>
  </w:body>
</w:document>
</file>

<file path=word/settings.xml><?xml version="1.0" encoding="utf-8"?>
<w:settings xmlns:w="http://schemas.openxmlformats.org/wordprocessingml/2006/main"/>
</file>

<file path=word/styles.xml><?xml version="1.0" encoding="utf-8"?>
<w:styles xmlns:w="http://schemas.openxmlformats.org/wordprocessingml/2006/main">
  <w:style w:styleId="Metadata">
    <w:name w:val="Версия сервера генератора печатных документов: 14.24 Версия клиента генератора печатных документов: 14.0.27 Текущий пользователь: sochnevva_75d50e596a6947339de649fcc067d9f4 Данные о генерации: DataSourceProvider: ru.krista.retools.reporting.print.doc.editor.RetoolsDataSourceProvider TemplateStorage: ru.krista.retools.reporting.print.doc.editor.TemplateInfoBasedStorage GenerationCache: ru.krista.print.doc.editor.generation.InMemoryGenerationCache FunctionProviders:  * ru.krista.print.doc.editor.evaluator.InMemoryFunctionProvider * ru.krista.retools.reporting.print.doc.editor.RetoolsFunctionProvider "/>
  </w:style>
</w:styles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2024-02-12T08:45:05Z</dcterms:created>
  <dc:creator>Apache POI</dc:creator>
</cp:coreProperties>
</file>